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A3" w:rsidRDefault="00E46EA3" w:rsidP="00E46EA3">
      <w:pPr>
        <w:spacing w:line="480" w:lineRule="auto"/>
        <w:jc w:val="center"/>
        <w:rPr>
          <w:rFonts w:cs="Times New Roman"/>
          <w:color w:val="1B1B1B"/>
          <w:szCs w:val="24"/>
          <w:shd w:val="clear" w:color="auto" w:fill="FFFFFF"/>
        </w:rPr>
      </w:pPr>
    </w:p>
    <w:p w:rsidR="00E46EA3" w:rsidRDefault="00E46EA3" w:rsidP="00E46EA3">
      <w:pPr>
        <w:spacing w:line="480" w:lineRule="auto"/>
        <w:jc w:val="center"/>
        <w:rPr>
          <w:rFonts w:cs="Times New Roman"/>
          <w:color w:val="1B1B1B"/>
          <w:szCs w:val="24"/>
          <w:shd w:val="clear" w:color="auto" w:fill="FFFFFF"/>
        </w:rPr>
      </w:pPr>
    </w:p>
    <w:p w:rsidR="00E46EA3" w:rsidRDefault="00E46EA3" w:rsidP="00E46EA3">
      <w:pPr>
        <w:spacing w:line="480" w:lineRule="auto"/>
        <w:jc w:val="center"/>
        <w:rPr>
          <w:rFonts w:cs="Times New Roman"/>
          <w:color w:val="1B1B1B"/>
          <w:szCs w:val="24"/>
          <w:shd w:val="clear" w:color="auto" w:fill="FFFFFF"/>
        </w:rPr>
      </w:pPr>
    </w:p>
    <w:p w:rsidR="00E46EA3" w:rsidRDefault="00E46EA3" w:rsidP="00E46EA3">
      <w:pPr>
        <w:spacing w:line="480" w:lineRule="auto"/>
        <w:jc w:val="center"/>
        <w:rPr>
          <w:rFonts w:cs="Times New Roman"/>
          <w:color w:val="1B1B1B"/>
          <w:szCs w:val="24"/>
          <w:shd w:val="clear" w:color="auto" w:fill="FFFFFF"/>
        </w:rPr>
      </w:pPr>
    </w:p>
    <w:p w:rsidR="00E46EA3" w:rsidRDefault="00E46EA3" w:rsidP="00E46EA3">
      <w:pPr>
        <w:spacing w:line="480" w:lineRule="auto"/>
        <w:jc w:val="center"/>
        <w:rPr>
          <w:rFonts w:cs="Times New Roman"/>
          <w:color w:val="1B1B1B"/>
          <w:szCs w:val="24"/>
          <w:shd w:val="clear" w:color="auto" w:fill="FFFFFF"/>
        </w:rPr>
      </w:pPr>
    </w:p>
    <w:p w:rsidR="00E46EA3" w:rsidRPr="00E46EA3" w:rsidRDefault="00E46EA3" w:rsidP="00E46EA3">
      <w:pPr>
        <w:spacing w:line="480" w:lineRule="auto"/>
        <w:jc w:val="center"/>
        <w:rPr>
          <w:rFonts w:cs="Times New Roman"/>
          <w:szCs w:val="24"/>
        </w:rPr>
      </w:pPr>
      <w:bookmarkStart w:id="0" w:name="_GoBack"/>
      <w:bookmarkEnd w:id="0"/>
      <w:r w:rsidRPr="00E46EA3">
        <w:rPr>
          <w:rFonts w:cs="Times New Roman"/>
          <w:color w:val="1B1B1B"/>
          <w:szCs w:val="24"/>
          <w:shd w:val="clear" w:color="auto" w:fill="FFFFFF"/>
        </w:rPr>
        <w:t>Accounting Project Analysis</w:t>
      </w:r>
    </w:p>
    <w:p w:rsidR="00E46EA3" w:rsidRPr="00E46EA3" w:rsidRDefault="00E46EA3" w:rsidP="00E46EA3">
      <w:pPr>
        <w:spacing w:line="480" w:lineRule="auto"/>
        <w:jc w:val="center"/>
        <w:rPr>
          <w:rFonts w:cs="Times New Roman"/>
          <w:color w:val="1B1B1B"/>
          <w:szCs w:val="24"/>
          <w:shd w:val="clear" w:color="auto" w:fill="FFFFFF"/>
        </w:rPr>
      </w:pPr>
      <w:r w:rsidRPr="00E46EA3">
        <w:rPr>
          <w:rFonts w:cs="Times New Roman"/>
          <w:color w:val="1B1B1B"/>
          <w:szCs w:val="24"/>
          <w:shd w:val="clear" w:color="auto" w:fill="FFFFFF"/>
        </w:rPr>
        <w:t>Name</w:t>
      </w:r>
    </w:p>
    <w:p w:rsidR="00E46EA3" w:rsidRDefault="00E46EA3" w:rsidP="00E46EA3">
      <w:pPr>
        <w:spacing w:line="480" w:lineRule="auto"/>
        <w:jc w:val="center"/>
        <w:rPr>
          <w:rFonts w:cs="Times New Roman"/>
          <w:b/>
          <w:color w:val="1B1B1B"/>
          <w:szCs w:val="24"/>
          <w:shd w:val="clear" w:color="auto" w:fill="FFFFFF"/>
        </w:rPr>
      </w:pPr>
      <w:r w:rsidRPr="00E46EA3">
        <w:rPr>
          <w:rFonts w:cs="Times New Roman"/>
          <w:color w:val="1B1B1B"/>
          <w:szCs w:val="24"/>
          <w:shd w:val="clear" w:color="auto" w:fill="FFFFFF"/>
        </w:rPr>
        <w:t>Institution of Affiliation</w:t>
      </w:r>
      <w:r>
        <w:rPr>
          <w:rFonts w:cs="Times New Roman"/>
          <w:b/>
          <w:color w:val="1B1B1B"/>
          <w:szCs w:val="24"/>
          <w:shd w:val="clear" w:color="auto" w:fill="FFFFFF"/>
        </w:rPr>
        <w:br w:type="page"/>
      </w:r>
    </w:p>
    <w:p w:rsidR="007B70ED" w:rsidRPr="00E46EA3" w:rsidRDefault="00E46EA3" w:rsidP="00E46EA3">
      <w:pPr>
        <w:spacing w:line="276" w:lineRule="auto"/>
        <w:jc w:val="center"/>
        <w:rPr>
          <w:rFonts w:cs="Times New Roman"/>
          <w:b/>
          <w:szCs w:val="24"/>
        </w:rPr>
      </w:pPr>
      <w:r w:rsidRPr="00E46EA3">
        <w:rPr>
          <w:rFonts w:cs="Times New Roman"/>
          <w:b/>
          <w:color w:val="1B1B1B"/>
          <w:szCs w:val="24"/>
          <w:shd w:val="clear" w:color="auto" w:fill="FFFFFF"/>
        </w:rPr>
        <w:lastRenderedPageBreak/>
        <w:t>Accounting Project Analysis</w:t>
      </w:r>
    </w:p>
    <w:p w:rsidR="00301905" w:rsidRDefault="007B70ED" w:rsidP="00FB2CE4">
      <w:pPr>
        <w:pStyle w:val="ListParagraph"/>
        <w:numPr>
          <w:ilvl w:val="0"/>
          <w:numId w:val="1"/>
        </w:numPr>
        <w:spacing w:line="276" w:lineRule="auto"/>
      </w:pPr>
      <w:r>
        <w:t xml:space="preserve">My task was to provide the CFO of the firm with an analysis of receivables outstanding at the end of 2018 and advising her on what would be ending balance of the allowance for doubtful accounts on the financial statement. </w:t>
      </w:r>
      <w:r w:rsidR="009E6834">
        <w:t>The data used was histor</w:t>
      </w:r>
      <w:r w:rsidR="00A44D21">
        <w:t>ical as provided by the IT team. The methods employed were the perc</w:t>
      </w:r>
      <w:r w:rsidR="00C540ED">
        <w:t>entage of sales method.</w:t>
      </w:r>
    </w:p>
    <w:p w:rsidR="007B70ED" w:rsidRDefault="00C540ED" w:rsidP="00FB2CE4">
      <w:pPr>
        <w:pStyle w:val="ListParagraph"/>
        <w:numPr>
          <w:ilvl w:val="0"/>
          <w:numId w:val="1"/>
        </w:numPr>
        <w:spacing w:line="276" w:lineRule="auto"/>
      </w:pPr>
      <w:r>
        <w:t xml:space="preserve"> </w:t>
      </w:r>
      <w:r w:rsidR="00301905">
        <w:t xml:space="preserve">The below table shows the analysis of the percentages of write offs for the years 2013- 2017. And a prediction of percentage write off for the year 2018 formulated using the historical data. The percentage write off are shown by two methods, the percentage of sales and percentage of account receivables by ageing groups. </w:t>
      </w:r>
    </w:p>
    <w:tbl>
      <w:tblPr>
        <w:tblW w:w="8530" w:type="dxa"/>
        <w:tblInd w:w="630" w:type="dxa"/>
        <w:tblLook w:val="04A0" w:firstRow="1" w:lastRow="0" w:firstColumn="1" w:lastColumn="0" w:noHBand="0" w:noVBand="1"/>
      </w:tblPr>
      <w:tblGrid>
        <w:gridCol w:w="1181"/>
        <w:gridCol w:w="1477"/>
        <w:gridCol w:w="1858"/>
        <w:gridCol w:w="878"/>
        <w:gridCol w:w="1028"/>
        <w:gridCol w:w="1028"/>
        <w:gridCol w:w="1280"/>
      </w:tblGrid>
      <w:tr w:rsidR="00301905" w:rsidRPr="00301905" w:rsidTr="00301905">
        <w:trPr>
          <w:trHeight w:val="855"/>
        </w:trPr>
        <w:tc>
          <w:tcPr>
            <w:tcW w:w="67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rPr>
                <w:rFonts w:ascii="Calibri" w:eastAsia="Times New Roman" w:hAnsi="Calibri" w:cs="Calibri"/>
                <w:b/>
                <w:bCs/>
                <w:color w:val="000000"/>
                <w:sz w:val="22"/>
              </w:rPr>
            </w:pPr>
            <w:r w:rsidRPr="00301905">
              <w:rPr>
                <w:rFonts w:ascii="Calibri" w:eastAsia="Times New Roman" w:hAnsi="Calibri" w:cs="Calibri"/>
                <w:b/>
                <w:bCs/>
                <w:color w:val="000000"/>
                <w:sz w:val="22"/>
              </w:rPr>
              <w:t>YEAR</w:t>
            </w:r>
          </w:p>
        </w:tc>
        <w:tc>
          <w:tcPr>
            <w:tcW w:w="1540" w:type="dxa"/>
            <w:tcBorders>
              <w:top w:val="nil"/>
              <w:left w:val="nil"/>
              <w:bottom w:val="nil"/>
              <w:right w:val="nil"/>
            </w:tcBorders>
            <w:shd w:val="clear" w:color="auto" w:fill="auto"/>
            <w:vAlign w:val="bottom"/>
            <w:hideMark/>
          </w:tcPr>
          <w:p w:rsidR="00301905" w:rsidRPr="00301905" w:rsidRDefault="00301905" w:rsidP="00FB2CE4">
            <w:pPr>
              <w:spacing w:after="0" w:line="276" w:lineRule="auto"/>
              <w:rPr>
                <w:rFonts w:ascii="Calibri" w:eastAsia="Times New Roman" w:hAnsi="Calibri" w:cs="Calibri"/>
                <w:b/>
                <w:bCs/>
                <w:color w:val="000000"/>
                <w:sz w:val="22"/>
              </w:rPr>
            </w:pPr>
            <w:r w:rsidRPr="00301905">
              <w:rPr>
                <w:rFonts w:ascii="Calibri" w:eastAsia="Times New Roman" w:hAnsi="Calibri" w:cs="Calibri"/>
                <w:b/>
                <w:bCs/>
                <w:color w:val="000000"/>
                <w:sz w:val="22"/>
              </w:rPr>
              <w:t>TOTAL OUSTANDING RECEIVABLES</w:t>
            </w:r>
          </w:p>
        </w:tc>
        <w:tc>
          <w:tcPr>
            <w:tcW w:w="1940" w:type="dxa"/>
            <w:tcBorders>
              <w:top w:val="nil"/>
              <w:left w:val="nil"/>
              <w:bottom w:val="nil"/>
              <w:right w:val="nil"/>
            </w:tcBorders>
            <w:shd w:val="clear" w:color="auto" w:fill="auto"/>
            <w:vAlign w:val="bottom"/>
            <w:hideMark/>
          </w:tcPr>
          <w:p w:rsidR="00301905" w:rsidRPr="00301905" w:rsidRDefault="00301905" w:rsidP="00FB2CE4">
            <w:pPr>
              <w:spacing w:after="0" w:line="276" w:lineRule="auto"/>
              <w:rPr>
                <w:rFonts w:ascii="Calibri" w:eastAsia="Times New Roman" w:hAnsi="Calibri" w:cs="Calibri"/>
                <w:b/>
                <w:bCs/>
                <w:color w:val="000000"/>
                <w:sz w:val="22"/>
              </w:rPr>
            </w:pPr>
            <w:r w:rsidRPr="00301905">
              <w:rPr>
                <w:rFonts w:ascii="Calibri" w:eastAsia="Times New Roman" w:hAnsi="Calibri" w:cs="Calibri"/>
                <w:b/>
                <w:bCs/>
                <w:color w:val="000000"/>
                <w:sz w:val="22"/>
              </w:rPr>
              <w:t>PERCENTAGE OF SALES ON ACCOUNT WRITTEN OFF</w:t>
            </w:r>
          </w:p>
        </w:tc>
        <w:tc>
          <w:tcPr>
            <w:tcW w:w="4380" w:type="dxa"/>
            <w:gridSpan w:val="4"/>
            <w:tcBorders>
              <w:top w:val="nil"/>
              <w:left w:val="nil"/>
              <w:bottom w:val="nil"/>
              <w:right w:val="nil"/>
            </w:tcBorders>
            <w:shd w:val="clear" w:color="auto" w:fill="auto"/>
            <w:vAlign w:val="bottom"/>
            <w:hideMark/>
          </w:tcPr>
          <w:p w:rsidR="00301905" w:rsidRPr="00301905" w:rsidRDefault="00301905" w:rsidP="00FB2CE4">
            <w:pPr>
              <w:spacing w:after="0" w:line="276" w:lineRule="auto"/>
              <w:jc w:val="center"/>
              <w:rPr>
                <w:rFonts w:ascii="Calibri" w:eastAsia="Times New Roman" w:hAnsi="Calibri" w:cs="Calibri"/>
                <w:b/>
                <w:bCs/>
                <w:color w:val="000000"/>
                <w:sz w:val="22"/>
              </w:rPr>
            </w:pPr>
            <w:r w:rsidRPr="00301905">
              <w:rPr>
                <w:rFonts w:ascii="Calibri" w:eastAsia="Times New Roman" w:hAnsi="Calibri" w:cs="Calibri"/>
                <w:b/>
                <w:bCs/>
                <w:color w:val="000000"/>
                <w:sz w:val="22"/>
              </w:rPr>
              <w:t>PERCENTAGE OF OUTSTANDING RECEIVABLES BY RECEIVABLE AGE GROUP</w:t>
            </w:r>
          </w:p>
        </w:tc>
      </w:tr>
      <w:tr w:rsidR="00301905" w:rsidRPr="00301905" w:rsidTr="00301905">
        <w:trPr>
          <w:trHeight w:val="300"/>
        </w:trPr>
        <w:tc>
          <w:tcPr>
            <w:tcW w:w="67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center"/>
              <w:rPr>
                <w:rFonts w:ascii="Calibri" w:eastAsia="Times New Roman" w:hAnsi="Calibri" w:cs="Calibri"/>
                <w:b/>
                <w:bCs/>
                <w:color w:val="000000"/>
                <w:sz w:val="22"/>
              </w:rPr>
            </w:pPr>
          </w:p>
        </w:tc>
        <w:tc>
          <w:tcPr>
            <w:tcW w:w="15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rPr>
                <w:rFonts w:eastAsia="Times New Roman" w:cs="Times New Roman"/>
                <w:sz w:val="20"/>
                <w:szCs w:val="20"/>
              </w:rPr>
            </w:pPr>
          </w:p>
        </w:tc>
        <w:tc>
          <w:tcPr>
            <w:tcW w:w="19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rPr>
                <w:rFonts w:eastAsia="Times New Roman" w:cs="Times New Roman"/>
                <w:sz w:val="20"/>
                <w:szCs w:val="20"/>
              </w:rPr>
            </w:pPr>
          </w:p>
        </w:tc>
        <w:tc>
          <w:tcPr>
            <w:tcW w:w="911"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rPr>
                <w:rFonts w:ascii="Calibri" w:eastAsia="Times New Roman" w:hAnsi="Calibri" w:cs="Calibri"/>
                <w:b/>
                <w:bCs/>
                <w:color w:val="000000"/>
                <w:sz w:val="18"/>
                <w:szCs w:val="18"/>
              </w:rPr>
            </w:pPr>
            <w:r w:rsidRPr="00301905">
              <w:rPr>
                <w:rFonts w:ascii="Calibri" w:eastAsia="Times New Roman" w:hAnsi="Calibri" w:cs="Calibri"/>
                <w:b/>
                <w:bCs/>
                <w:color w:val="000000"/>
                <w:sz w:val="18"/>
                <w:szCs w:val="18"/>
              </w:rPr>
              <w:t xml:space="preserve">0-30DAYS </w:t>
            </w:r>
          </w:p>
        </w:tc>
        <w:tc>
          <w:tcPr>
            <w:tcW w:w="1068" w:type="dxa"/>
            <w:tcBorders>
              <w:top w:val="nil"/>
              <w:left w:val="nil"/>
              <w:bottom w:val="nil"/>
              <w:right w:val="nil"/>
            </w:tcBorders>
            <w:shd w:val="clear" w:color="auto" w:fill="auto"/>
            <w:noWrap/>
            <w:vAlign w:val="bottom"/>
            <w:hideMark/>
          </w:tcPr>
          <w:p w:rsidR="00301905" w:rsidRPr="00301905" w:rsidRDefault="002701B7" w:rsidP="00FB2CE4">
            <w:pPr>
              <w:spacing w:after="0" w:line="276" w:lineRule="auto"/>
              <w:rPr>
                <w:rFonts w:ascii="Calibri" w:eastAsia="Times New Roman" w:hAnsi="Calibri" w:cs="Calibri"/>
                <w:b/>
                <w:bCs/>
                <w:color w:val="000000"/>
                <w:sz w:val="18"/>
                <w:szCs w:val="18"/>
              </w:rPr>
            </w:pPr>
            <w:r>
              <w:rPr>
                <w:rFonts w:ascii="Calibri" w:eastAsia="Times New Roman" w:hAnsi="Calibri" w:cs="Calibri"/>
                <w:b/>
                <w:bCs/>
                <w:color w:val="000000"/>
                <w:sz w:val="18"/>
                <w:szCs w:val="18"/>
              </w:rPr>
              <w:t>31</w:t>
            </w:r>
            <w:r w:rsidR="00301905" w:rsidRPr="00301905">
              <w:rPr>
                <w:rFonts w:ascii="Calibri" w:eastAsia="Times New Roman" w:hAnsi="Calibri" w:cs="Calibri"/>
                <w:b/>
                <w:bCs/>
                <w:color w:val="000000"/>
                <w:sz w:val="18"/>
                <w:szCs w:val="18"/>
              </w:rPr>
              <w:t>-60 DAYS</w:t>
            </w:r>
          </w:p>
        </w:tc>
        <w:tc>
          <w:tcPr>
            <w:tcW w:w="1068" w:type="dxa"/>
            <w:tcBorders>
              <w:top w:val="nil"/>
              <w:left w:val="nil"/>
              <w:bottom w:val="nil"/>
              <w:right w:val="nil"/>
            </w:tcBorders>
            <w:shd w:val="clear" w:color="auto" w:fill="auto"/>
            <w:noWrap/>
            <w:vAlign w:val="bottom"/>
            <w:hideMark/>
          </w:tcPr>
          <w:p w:rsidR="00301905" w:rsidRPr="00301905" w:rsidRDefault="002701B7" w:rsidP="00FB2CE4">
            <w:pPr>
              <w:spacing w:after="0" w:line="276" w:lineRule="auto"/>
              <w:rPr>
                <w:rFonts w:ascii="Calibri" w:eastAsia="Times New Roman" w:hAnsi="Calibri" w:cs="Calibri"/>
                <w:b/>
                <w:bCs/>
                <w:color w:val="000000"/>
                <w:sz w:val="18"/>
                <w:szCs w:val="18"/>
              </w:rPr>
            </w:pPr>
            <w:r>
              <w:rPr>
                <w:rFonts w:ascii="Calibri" w:eastAsia="Times New Roman" w:hAnsi="Calibri" w:cs="Calibri"/>
                <w:b/>
                <w:bCs/>
                <w:color w:val="000000"/>
                <w:sz w:val="18"/>
                <w:szCs w:val="18"/>
              </w:rPr>
              <w:t>61</w:t>
            </w:r>
            <w:r w:rsidR="00301905" w:rsidRPr="00301905">
              <w:rPr>
                <w:rFonts w:ascii="Calibri" w:eastAsia="Times New Roman" w:hAnsi="Calibri" w:cs="Calibri"/>
                <w:b/>
                <w:bCs/>
                <w:color w:val="000000"/>
                <w:sz w:val="18"/>
                <w:szCs w:val="18"/>
              </w:rPr>
              <w:t>-90 DAYS</w:t>
            </w:r>
          </w:p>
        </w:tc>
        <w:tc>
          <w:tcPr>
            <w:tcW w:w="1333"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rPr>
                <w:rFonts w:ascii="Calibri" w:eastAsia="Times New Roman" w:hAnsi="Calibri" w:cs="Calibri"/>
                <w:b/>
                <w:bCs/>
                <w:color w:val="000000"/>
                <w:sz w:val="18"/>
                <w:szCs w:val="18"/>
              </w:rPr>
            </w:pPr>
            <w:r w:rsidRPr="00301905">
              <w:rPr>
                <w:rFonts w:ascii="Calibri" w:eastAsia="Times New Roman" w:hAnsi="Calibri" w:cs="Calibri"/>
                <w:b/>
                <w:bCs/>
                <w:color w:val="000000"/>
                <w:sz w:val="18"/>
                <w:szCs w:val="18"/>
              </w:rPr>
              <w:t>OVER 90 DAYS</w:t>
            </w:r>
          </w:p>
        </w:tc>
      </w:tr>
      <w:tr w:rsidR="00301905" w:rsidRPr="00301905" w:rsidTr="00301905">
        <w:trPr>
          <w:trHeight w:val="300"/>
        </w:trPr>
        <w:tc>
          <w:tcPr>
            <w:tcW w:w="67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b/>
                <w:bCs/>
                <w:color w:val="000000"/>
                <w:sz w:val="22"/>
              </w:rPr>
            </w:pPr>
            <w:r w:rsidRPr="00301905">
              <w:rPr>
                <w:rFonts w:ascii="Calibri" w:eastAsia="Times New Roman" w:hAnsi="Calibri" w:cs="Calibri"/>
                <w:b/>
                <w:bCs/>
                <w:color w:val="000000"/>
                <w:sz w:val="22"/>
              </w:rPr>
              <w:t>2013</w:t>
            </w:r>
          </w:p>
        </w:tc>
        <w:tc>
          <w:tcPr>
            <w:tcW w:w="15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16668134</w:t>
            </w:r>
          </w:p>
        </w:tc>
        <w:tc>
          <w:tcPr>
            <w:tcW w:w="19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2.16%</w:t>
            </w:r>
          </w:p>
        </w:tc>
        <w:tc>
          <w:tcPr>
            <w:tcW w:w="911"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8.96%</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24.16%</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31.94%</w:t>
            </w:r>
          </w:p>
        </w:tc>
        <w:tc>
          <w:tcPr>
            <w:tcW w:w="1333"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31.34%</w:t>
            </w:r>
          </w:p>
        </w:tc>
      </w:tr>
      <w:tr w:rsidR="00301905" w:rsidRPr="00301905" w:rsidTr="00301905">
        <w:trPr>
          <w:trHeight w:val="300"/>
        </w:trPr>
        <w:tc>
          <w:tcPr>
            <w:tcW w:w="67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b/>
                <w:bCs/>
                <w:color w:val="000000"/>
                <w:sz w:val="22"/>
              </w:rPr>
            </w:pPr>
            <w:r w:rsidRPr="00301905">
              <w:rPr>
                <w:rFonts w:ascii="Calibri" w:eastAsia="Times New Roman" w:hAnsi="Calibri" w:cs="Calibri"/>
                <w:b/>
                <w:bCs/>
                <w:color w:val="000000"/>
                <w:sz w:val="22"/>
              </w:rPr>
              <w:t>2014</w:t>
            </w:r>
          </w:p>
        </w:tc>
        <w:tc>
          <w:tcPr>
            <w:tcW w:w="15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34897786</w:t>
            </w:r>
          </w:p>
        </w:tc>
        <w:tc>
          <w:tcPr>
            <w:tcW w:w="19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1.65%</w:t>
            </w:r>
          </w:p>
        </w:tc>
        <w:tc>
          <w:tcPr>
            <w:tcW w:w="911"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5.27%</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25.42%</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30.07%</w:t>
            </w:r>
          </w:p>
        </w:tc>
        <w:tc>
          <w:tcPr>
            <w:tcW w:w="1333"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36.45%</w:t>
            </w:r>
          </w:p>
        </w:tc>
      </w:tr>
      <w:tr w:rsidR="00301905" w:rsidRPr="00301905" w:rsidTr="00301905">
        <w:trPr>
          <w:trHeight w:val="300"/>
        </w:trPr>
        <w:tc>
          <w:tcPr>
            <w:tcW w:w="67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b/>
                <w:bCs/>
                <w:color w:val="000000"/>
                <w:sz w:val="22"/>
              </w:rPr>
            </w:pPr>
            <w:r w:rsidRPr="00301905">
              <w:rPr>
                <w:rFonts w:ascii="Calibri" w:eastAsia="Times New Roman" w:hAnsi="Calibri" w:cs="Calibri"/>
                <w:b/>
                <w:bCs/>
                <w:color w:val="000000"/>
                <w:sz w:val="22"/>
              </w:rPr>
              <w:t>2015</w:t>
            </w:r>
          </w:p>
        </w:tc>
        <w:tc>
          <w:tcPr>
            <w:tcW w:w="15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32418890</w:t>
            </w:r>
          </w:p>
        </w:tc>
        <w:tc>
          <w:tcPr>
            <w:tcW w:w="19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2.03%</w:t>
            </w:r>
          </w:p>
        </w:tc>
        <w:tc>
          <w:tcPr>
            <w:tcW w:w="911"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7.87%</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26.35%</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23.65%</w:t>
            </w:r>
          </w:p>
        </w:tc>
        <w:tc>
          <w:tcPr>
            <w:tcW w:w="1333"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38.70%</w:t>
            </w:r>
          </w:p>
        </w:tc>
      </w:tr>
      <w:tr w:rsidR="00301905" w:rsidRPr="00301905" w:rsidTr="00301905">
        <w:trPr>
          <w:trHeight w:val="300"/>
        </w:trPr>
        <w:tc>
          <w:tcPr>
            <w:tcW w:w="67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b/>
                <w:bCs/>
                <w:color w:val="000000"/>
                <w:sz w:val="22"/>
              </w:rPr>
            </w:pPr>
            <w:r w:rsidRPr="00301905">
              <w:rPr>
                <w:rFonts w:ascii="Calibri" w:eastAsia="Times New Roman" w:hAnsi="Calibri" w:cs="Calibri"/>
                <w:b/>
                <w:bCs/>
                <w:color w:val="000000"/>
                <w:sz w:val="22"/>
              </w:rPr>
              <w:t>2016</w:t>
            </w:r>
          </w:p>
        </w:tc>
        <w:tc>
          <w:tcPr>
            <w:tcW w:w="15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40111870</w:t>
            </w:r>
          </w:p>
        </w:tc>
        <w:tc>
          <w:tcPr>
            <w:tcW w:w="19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2.03%</w:t>
            </w:r>
          </w:p>
        </w:tc>
        <w:tc>
          <w:tcPr>
            <w:tcW w:w="911"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7.33%</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26.32%</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28.11%</w:t>
            </w:r>
          </w:p>
        </w:tc>
        <w:tc>
          <w:tcPr>
            <w:tcW w:w="1333"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34.77%</w:t>
            </w:r>
          </w:p>
        </w:tc>
      </w:tr>
      <w:tr w:rsidR="00301905" w:rsidRPr="00301905" w:rsidTr="00301905">
        <w:trPr>
          <w:trHeight w:val="300"/>
        </w:trPr>
        <w:tc>
          <w:tcPr>
            <w:tcW w:w="67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b/>
                <w:bCs/>
                <w:color w:val="000000"/>
                <w:sz w:val="22"/>
              </w:rPr>
            </w:pPr>
            <w:r w:rsidRPr="00301905">
              <w:rPr>
                <w:rFonts w:ascii="Calibri" w:eastAsia="Times New Roman" w:hAnsi="Calibri" w:cs="Calibri"/>
                <w:b/>
                <w:bCs/>
                <w:color w:val="000000"/>
                <w:sz w:val="22"/>
              </w:rPr>
              <w:t>2017</w:t>
            </w:r>
          </w:p>
        </w:tc>
        <w:tc>
          <w:tcPr>
            <w:tcW w:w="15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41575563</w:t>
            </w:r>
          </w:p>
        </w:tc>
        <w:tc>
          <w:tcPr>
            <w:tcW w:w="19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2.06%</w:t>
            </w:r>
          </w:p>
        </w:tc>
        <w:tc>
          <w:tcPr>
            <w:tcW w:w="911"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7.55%</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29.56%</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24.10%</w:t>
            </w:r>
          </w:p>
        </w:tc>
        <w:tc>
          <w:tcPr>
            <w:tcW w:w="1333"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35.46%</w:t>
            </w:r>
          </w:p>
        </w:tc>
      </w:tr>
      <w:tr w:rsidR="00301905" w:rsidRPr="00301905" w:rsidTr="00FB2CE4">
        <w:trPr>
          <w:trHeight w:val="567"/>
        </w:trPr>
        <w:tc>
          <w:tcPr>
            <w:tcW w:w="670" w:type="dxa"/>
            <w:tcBorders>
              <w:top w:val="nil"/>
              <w:left w:val="nil"/>
              <w:bottom w:val="nil"/>
              <w:right w:val="nil"/>
            </w:tcBorders>
            <w:shd w:val="clear" w:color="auto" w:fill="auto"/>
            <w:vAlign w:val="bottom"/>
            <w:hideMark/>
          </w:tcPr>
          <w:p w:rsidR="00301905" w:rsidRPr="00301905" w:rsidRDefault="00301905" w:rsidP="00FB2CE4">
            <w:pPr>
              <w:spacing w:after="0" w:line="276" w:lineRule="auto"/>
              <w:jc w:val="right"/>
              <w:rPr>
                <w:rFonts w:ascii="Calibri" w:eastAsia="Times New Roman" w:hAnsi="Calibri" w:cs="Calibri"/>
                <w:b/>
                <w:bCs/>
                <w:color w:val="000000"/>
                <w:sz w:val="22"/>
              </w:rPr>
            </w:pPr>
            <w:r w:rsidRPr="00301905">
              <w:rPr>
                <w:rFonts w:ascii="Calibri" w:eastAsia="Times New Roman" w:hAnsi="Calibri" w:cs="Calibri"/>
                <w:b/>
                <w:bCs/>
                <w:color w:val="000000"/>
                <w:sz w:val="22"/>
              </w:rPr>
              <w:t>2018 (Predicted)</w:t>
            </w:r>
          </w:p>
        </w:tc>
        <w:tc>
          <w:tcPr>
            <w:tcW w:w="15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39885494</w:t>
            </w:r>
          </w:p>
        </w:tc>
        <w:tc>
          <w:tcPr>
            <w:tcW w:w="1940"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1.99%</w:t>
            </w:r>
          </w:p>
        </w:tc>
        <w:tc>
          <w:tcPr>
            <w:tcW w:w="911"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7.39%</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26.36%</w:t>
            </w:r>
          </w:p>
        </w:tc>
        <w:tc>
          <w:tcPr>
            <w:tcW w:w="1068"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27.57%</w:t>
            </w:r>
          </w:p>
        </w:tc>
        <w:tc>
          <w:tcPr>
            <w:tcW w:w="1333" w:type="dxa"/>
            <w:tcBorders>
              <w:top w:val="nil"/>
              <w:left w:val="nil"/>
              <w:bottom w:val="nil"/>
              <w:right w:val="nil"/>
            </w:tcBorders>
            <w:shd w:val="clear" w:color="auto" w:fill="auto"/>
            <w:noWrap/>
            <w:vAlign w:val="bottom"/>
            <w:hideMark/>
          </w:tcPr>
          <w:p w:rsidR="00301905" w:rsidRPr="00301905" w:rsidRDefault="00301905" w:rsidP="00FB2CE4">
            <w:pPr>
              <w:spacing w:after="0" w:line="276" w:lineRule="auto"/>
              <w:jc w:val="right"/>
              <w:rPr>
                <w:rFonts w:ascii="Calibri" w:eastAsia="Times New Roman" w:hAnsi="Calibri" w:cs="Calibri"/>
                <w:color w:val="000000"/>
                <w:sz w:val="22"/>
              </w:rPr>
            </w:pPr>
            <w:r w:rsidRPr="00301905">
              <w:rPr>
                <w:rFonts w:ascii="Calibri" w:eastAsia="Times New Roman" w:hAnsi="Calibri" w:cs="Calibri"/>
                <w:color w:val="000000"/>
                <w:sz w:val="22"/>
              </w:rPr>
              <w:t>35.34%</w:t>
            </w:r>
          </w:p>
        </w:tc>
      </w:tr>
    </w:tbl>
    <w:p w:rsidR="00C540ED" w:rsidRDefault="00C540ED" w:rsidP="00FB2CE4">
      <w:pPr>
        <w:spacing w:line="276" w:lineRule="auto"/>
        <w:ind w:left="720"/>
      </w:pPr>
    </w:p>
    <w:p w:rsidR="007B70ED" w:rsidRDefault="00622226" w:rsidP="00FB2CE4">
      <w:pPr>
        <w:pStyle w:val="ListParagraph"/>
        <w:numPr>
          <w:ilvl w:val="0"/>
          <w:numId w:val="1"/>
        </w:numPr>
        <w:spacing w:line="276" w:lineRule="auto"/>
      </w:pPr>
      <w:r>
        <w:t>Recommendations:</w:t>
      </w:r>
    </w:p>
    <w:p w:rsidR="00622226" w:rsidRDefault="00622226" w:rsidP="00FB2CE4">
      <w:pPr>
        <w:pStyle w:val="ListParagraph"/>
        <w:tabs>
          <w:tab w:val="right" w:pos="9360"/>
        </w:tabs>
        <w:spacing w:line="276" w:lineRule="auto"/>
      </w:pPr>
      <w:r>
        <w:t xml:space="preserve">Use </w:t>
      </w:r>
      <w:r w:rsidR="00787BF4">
        <w:t>aging of receivables method as it the most near accurate figure when compared with the actual</w:t>
      </w:r>
      <w:r>
        <w:t xml:space="preserve">.  This reasoning is founded on comparing the historical data of the two methods and comparing them to the actual write-offs. </w:t>
      </w:r>
    </w:p>
    <w:p w:rsidR="00B76140" w:rsidRDefault="00B76140" w:rsidP="00FB2CE4">
      <w:pPr>
        <w:pStyle w:val="ListParagraph"/>
        <w:numPr>
          <w:ilvl w:val="0"/>
          <w:numId w:val="1"/>
        </w:numPr>
        <w:spacing w:line="276" w:lineRule="auto"/>
      </w:pPr>
      <w:r>
        <w:t xml:space="preserve">The bad debt expense for the year 2018 using the aging accounts receivable method is </w:t>
      </w:r>
      <w:r w:rsidR="002701B7">
        <w:t>$1,332,176. The figure is arrived at by adding all the percentages i.e. 0-30 days(7.39%)+ 30-60 days(26.36%)+61-90 days(27.57)+ over 90 days(35.34) giving us a total of 96.66% of the payments. The percentage of bad debt is 3.34% which we multiply by total outstanding receivable (39885494) to give us the figure of $1,332,176.</w:t>
      </w:r>
    </w:p>
    <w:p w:rsidR="002701B7" w:rsidRDefault="002323B7" w:rsidP="00FB2CE4">
      <w:pPr>
        <w:pStyle w:val="ListParagraph"/>
        <w:numPr>
          <w:ilvl w:val="0"/>
          <w:numId w:val="1"/>
        </w:numPr>
        <w:spacing w:line="276" w:lineRule="auto"/>
      </w:pPr>
      <w:r>
        <w:t xml:space="preserve">Further historical data should be examined to find the impact of the two methods when the number of clients increases. </w:t>
      </w:r>
    </w:p>
    <w:sectPr w:rsidR="002701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A7E" w:rsidRDefault="00370A7E" w:rsidP="00E46EA3">
      <w:pPr>
        <w:spacing w:after="0" w:line="240" w:lineRule="auto"/>
      </w:pPr>
      <w:r>
        <w:separator/>
      </w:r>
    </w:p>
  </w:endnote>
  <w:endnote w:type="continuationSeparator" w:id="0">
    <w:p w:rsidR="00370A7E" w:rsidRDefault="00370A7E" w:rsidP="00E46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A7E" w:rsidRDefault="00370A7E" w:rsidP="00E46EA3">
      <w:pPr>
        <w:spacing w:after="0" w:line="240" w:lineRule="auto"/>
      </w:pPr>
      <w:r>
        <w:separator/>
      </w:r>
    </w:p>
  </w:footnote>
  <w:footnote w:type="continuationSeparator" w:id="0">
    <w:p w:rsidR="00370A7E" w:rsidRDefault="00370A7E" w:rsidP="00E46E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200494"/>
      <w:docPartObj>
        <w:docPartGallery w:val="Page Numbers (Top of Page)"/>
        <w:docPartUnique/>
      </w:docPartObj>
    </w:sdtPr>
    <w:sdtEndPr>
      <w:rPr>
        <w:noProof/>
      </w:rPr>
    </w:sdtEndPr>
    <w:sdtContent>
      <w:p w:rsidR="00E46EA3" w:rsidRDefault="00E46EA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46EA3" w:rsidRDefault="00E46E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E38EE"/>
    <w:multiLevelType w:val="hybridMultilevel"/>
    <w:tmpl w:val="FF028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0ED"/>
    <w:rsid w:val="002323B7"/>
    <w:rsid w:val="002701B7"/>
    <w:rsid w:val="002B399E"/>
    <w:rsid w:val="002F6C42"/>
    <w:rsid w:val="00301905"/>
    <w:rsid w:val="00370A7E"/>
    <w:rsid w:val="00583F84"/>
    <w:rsid w:val="00622226"/>
    <w:rsid w:val="00723C76"/>
    <w:rsid w:val="00787BF4"/>
    <w:rsid w:val="007B70ED"/>
    <w:rsid w:val="009E6834"/>
    <w:rsid w:val="00A44D21"/>
    <w:rsid w:val="00B76140"/>
    <w:rsid w:val="00C540ED"/>
    <w:rsid w:val="00E46EA3"/>
    <w:rsid w:val="00FB2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99D61"/>
  <w15:chartTrackingRefBased/>
  <w15:docId w15:val="{61E39977-C8B6-47CC-8171-750D985E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0ED"/>
    <w:pPr>
      <w:ind w:left="720"/>
      <w:contextualSpacing/>
    </w:pPr>
  </w:style>
  <w:style w:type="paragraph" w:styleId="Header">
    <w:name w:val="header"/>
    <w:basedOn w:val="Normal"/>
    <w:link w:val="HeaderChar"/>
    <w:uiPriority w:val="99"/>
    <w:unhideWhenUsed/>
    <w:rsid w:val="00E46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EA3"/>
  </w:style>
  <w:style w:type="paragraph" w:styleId="Footer">
    <w:name w:val="footer"/>
    <w:basedOn w:val="Normal"/>
    <w:link w:val="FooterChar"/>
    <w:uiPriority w:val="99"/>
    <w:unhideWhenUsed/>
    <w:rsid w:val="00E46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962424">
      <w:bodyDiv w:val="1"/>
      <w:marLeft w:val="0"/>
      <w:marRight w:val="0"/>
      <w:marTop w:val="0"/>
      <w:marBottom w:val="0"/>
      <w:divBdr>
        <w:top w:val="none" w:sz="0" w:space="0" w:color="auto"/>
        <w:left w:val="none" w:sz="0" w:space="0" w:color="auto"/>
        <w:bottom w:val="none" w:sz="0" w:space="0" w:color="auto"/>
        <w:right w:val="none" w:sz="0" w:space="0" w:color="auto"/>
      </w:divBdr>
    </w:div>
    <w:div w:id="164562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2020-10-25T19:27:00Z</dcterms:created>
  <dcterms:modified xsi:type="dcterms:W3CDTF">2020-10-25T19:33:00Z</dcterms:modified>
</cp:coreProperties>
</file>